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11223"/>
        <w:gridCol w:w="21"/>
      </w:tblGrid>
      <w:tr w:rsidR="00247FA4" w:rsidRPr="00247FA4" w:rsidTr="00247FA4">
        <w:trPr>
          <w:gridAfter w:val="1"/>
          <w:tblCellSpacing w:w="7" w:type="dxa"/>
          <w:jc w:val="center"/>
        </w:trPr>
        <w:tc>
          <w:tcPr>
            <w:tcW w:w="0" w:type="auto"/>
            <w:tcMar>
              <w:top w:w="0" w:type="dxa"/>
              <w:left w:w="375" w:type="dxa"/>
              <w:bottom w:w="0" w:type="dxa"/>
              <w:right w:w="375" w:type="dxa"/>
            </w:tcMar>
            <w:vAlign w:val="center"/>
            <w:hideMark/>
          </w:tcPr>
          <w:p w:rsidR="00247FA4" w:rsidRPr="00247FA4" w:rsidRDefault="00247FA4" w:rsidP="00247FA4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002060"/>
                <w:kern w:val="0"/>
                <w:sz w:val="40"/>
                <w:szCs w:val="40"/>
              </w:rPr>
            </w:pPr>
            <w:r w:rsidRPr="00247FA4">
              <w:rPr>
                <w:rFonts w:ascii="微软雅黑" w:eastAsia="微软雅黑" w:hAnsi="微软雅黑" w:cs="宋体" w:hint="eastAsia"/>
                <w:b/>
                <w:color w:val="002060"/>
                <w:kern w:val="0"/>
                <w:sz w:val="40"/>
                <w:szCs w:val="40"/>
              </w:rPr>
              <w:t>浙江省高级人民法院关于</w:t>
            </w:r>
            <w:r w:rsidRPr="00247FA4">
              <w:rPr>
                <w:rFonts w:ascii="微软雅黑" w:eastAsia="微软雅黑" w:hAnsi="微软雅黑" w:cs="宋体" w:hint="eastAsia"/>
                <w:b/>
                <w:color w:val="002060"/>
                <w:kern w:val="0"/>
                <w:sz w:val="40"/>
                <w:szCs w:val="40"/>
              </w:rPr>
              <w:br/>
              <w:t>进一步强化强制执行措施的若干意见（试行）</w:t>
            </w:r>
          </w:p>
        </w:tc>
      </w:tr>
      <w:tr w:rsidR="00247FA4" w:rsidRPr="00247FA4" w:rsidTr="00247FA4">
        <w:trPr>
          <w:gridAfter w:val="1"/>
          <w:trHeight w:val="450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47FA4" w:rsidRPr="00247FA4" w:rsidRDefault="00247FA4" w:rsidP="00247FA4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</w:tr>
      <w:tr w:rsidR="00247FA4" w:rsidRPr="00247FA4" w:rsidTr="00247FA4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47FA4" w:rsidRDefault="00247FA4" w:rsidP="00247FA4">
            <w:pPr>
              <w:widowControl/>
              <w:spacing w:line="360" w:lineRule="exac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（2019年4月11日浙江省高级人民法院审判委员会第2766会议通过）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为加强民事执行的强制性、规范性，依法惩戒逃避执行、抗拒执行行为，敦促被执行人主动履行生效法律文书确定的义务，根据诉讼法和相关司法解释规定，结合实际，制定本意见。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一、执行机构收到执行案件后，应当立即启动执行程序，并在10日内完成以下事项：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1. 向被执行人发出《执行通知书》；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2. 向被执行人发出《报告财产令》、《限制消费令》；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3. 财产网上查控以及被执行人户籍、婚姻、持有的证照、出入境记录等信息的调查。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二、被执行人应当按照《执行通知书》、《报告财产令》的要求立即履行债务或者报告财产。拒不报告财产又不履行的，在《执行通知书》和《报告财产令》发出后一个月内采取下列措施：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1. 纳入失信被执行人名单；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2. 限制出入境，或者责令交出出入境证照、宣布证照作废等;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3. 罚款、拘留。单位为被执行人，可视</w:t>
            </w:r>
            <w:proofErr w:type="gramStart"/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情同时</w:t>
            </w:r>
            <w:proofErr w:type="gramEnd"/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对该单位的法定代表人、主要负责人、影响债务履行的直接责任人员、实际控制人予以罚款、拘留。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三、被执行人报告财产不实，应当在查明之日起10日内，对被执行人予以罚款、拘留。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四、被执行人应当遵守《限制消费令》的规定。被执行人违反《限制消费令》，执行法院应当自查明之日起10日内予以罚款、拘留。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五、执行法院发出查封、扣押裁定书、责令交付通知书后，被执行人应当按照要求将指定的车辆等动产移交执行法院。拒不移交的，在10日内予以罚款、拘留。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确有正当理由无法移交的，被执行人应当向执行法院书面报告车辆等动产的权属和占有、使用等情况。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六、被执行人或其他相关人员拒不腾退涉案房屋、土地的，执行人员应当在腾退期限届满之日起一个月内，根据情节轻重予以罚款、拘留、移送公安机关追究刑事责任。  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七、被执行人拒不报告财产、虚假报告财产、违反限制消费令，经采取罚款、拘留等强制执行措施后仍拒不执行的，应当在一个月内移送公安机关追究刑事责任。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八、被执行人或其他相关人员具有非法处置查封、扣押、冻结的财产、虚假诉讼等抗拒执行行为之一，情节轻微尚不构成犯罪的，应当在10日内</w:t>
            </w:r>
            <w:proofErr w:type="gramStart"/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作出</w:t>
            </w:r>
            <w:proofErr w:type="gramEnd"/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拘留决定；情节严重涉嫌犯罪的，应当在一个月内移送公安机关追究刑事责任。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九、对</w:t>
            </w:r>
            <w:proofErr w:type="gramStart"/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作出</w:t>
            </w:r>
            <w:proofErr w:type="gramEnd"/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了拘留决定而被执行人又下落不明的，10日内提请公安机关协助控制被执行人。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十、罚款、拘留可以单独适用，也可以合并适用。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同一案件中发生新的妨害执行事由的，可以重新予以罚款、拘留。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对个人的罚款金额，一般不少于人民币一千元。对单位的罚款金额，不少于人民币五万元。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在拘留期间被执行人具有积极履行债务等认错悔改情形的，可以责令具结悔过，提前解除拘留。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十一、应当采取强制执行措施而不采取的，依法依纪追究承办人责任。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具有特殊情形暂不宜采取强制执行措施的，应当报经批准。具体情形另行制定。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十二、本意见适用于金钱给付类民事执行案件。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同一被执行人在同</w:t>
            </w:r>
            <w:proofErr w:type="gramStart"/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一执行</w:t>
            </w:r>
            <w:proofErr w:type="gramEnd"/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法院内具有系列执行案件，可以基于其中一个案件实施本意见的强制执行措施，强制执行措施的材料在其他案件中备案。</w:t>
            </w:r>
          </w:p>
          <w:p w:rsidR="00247FA4" w:rsidRPr="00247FA4" w:rsidRDefault="00247FA4" w:rsidP="00247FA4">
            <w:pPr>
              <w:widowControl/>
              <w:spacing w:line="360" w:lineRule="exac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十三、</w:t>
            </w:r>
            <w:proofErr w:type="gramStart"/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本意见自2019年5月1日起</w:t>
            </w:r>
            <w:proofErr w:type="gramEnd"/>
            <w:r w:rsidRPr="00247FA4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施行。</w:t>
            </w:r>
          </w:p>
        </w:tc>
      </w:tr>
    </w:tbl>
    <w:p w:rsidR="003D2BCC" w:rsidRPr="00247FA4" w:rsidRDefault="003D2BCC" w:rsidP="00247FA4">
      <w:pPr>
        <w:spacing w:line="360" w:lineRule="exact"/>
        <w:rPr>
          <w:rFonts w:ascii="微软雅黑" w:eastAsia="微软雅黑" w:hAnsi="微软雅黑"/>
          <w:sz w:val="22"/>
        </w:rPr>
      </w:pPr>
    </w:p>
    <w:sectPr w:rsidR="003D2BCC" w:rsidRPr="00247FA4" w:rsidSect="00247FA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7FA4"/>
    <w:rsid w:val="00247FA4"/>
    <w:rsid w:val="003D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F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1107</Characters>
  <Application>Microsoft Office Word</Application>
  <DocSecurity>0</DocSecurity>
  <Lines>9</Lines>
  <Paragraphs>2</Paragraphs>
  <ScaleCrop>false</ScaleCrop>
  <Company>newdaxie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1</cp:revision>
  <dcterms:created xsi:type="dcterms:W3CDTF">2023-10-14T06:36:00Z</dcterms:created>
  <dcterms:modified xsi:type="dcterms:W3CDTF">2023-10-14T06:43:00Z</dcterms:modified>
</cp:coreProperties>
</file>